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r w:rsidR="00092D27">
        <w:rPr>
          <w:color w:val="000000"/>
          <w:spacing w:val="-1"/>
          <w:sz w:val="24"/>
          <w:szCs w:val="24"/>
          <w:lang w:val="en-US"/>
        </w:rPr>
        <w:t>smo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</w:pP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  <w:sectPr w:rsidR="00F10ADD" w:rsidSect="004F3870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Pr="00092D27" w:rsidRDefault="00534E43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31115" t="25400" r="27305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12065" t="11430" r="508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  <w:r w:rsidR="005D3300" w:rsidRPr="00092D27">
        <w:rPr>
          <w:b/>
          <w:noProof/>
          <w:sz w:val="24"/>
          <w:szCs w:val="24"/>
        </w:rPr>
        <w:t xml:space="preserve"> № </w:t>
      </w:r>
      <w:r w:rsidR="00793C78">
        <w:rPr>
          <w:b/>
          <w:noProof/>
          <w:sz w:val="24"/>
          <w:szCs w:val="24"/>
        </w:rPr>
        <w:t>1</w:t>
      </w:r>
      <w:r w:rsidR="0027647F">
        <w:rPr>
          <w:b/>
          <w:noProof/>
          <w:sz w:val="24"/>
          <w:szCs w:val="24"/>
        </w:rPr>
        <w:t>6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1013A3" w:rsidRDefault="001013A3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793C78">
        <w:rPr>
          <w:noProof/>
          <w:sz w:val="24"/>
          <w:szCs w:val="24"/>
        </w:rPr>
        <w:t>1</w:t>
      </w:r>
      <w:r w:rsidR="00C248B1">
        <w:rPr>
          <w:noProof/>
          <w:sz w:val="24"/>
          <w:szCs w:val="24"/>
        </w:rPr>
        <w:t>8</w:t>
      </w:r>
      <w:r w:rsidR="0079021F" w:rsidRPr="001013A3">
        <w:rPr>
          <w:noProof/>
          <w:sz w:val="24"/>
          <w:szCs w:val="24"/>
        </w:rPr>
        <w:t>»</w:t>
      </w:r>
      <w:r w:rsidR="00F10BDD" w:rsidRPr="001013A3">
        <w:rPr>
          <w:noProof/>
          <w:sz w:val="24"/>
          <w:szCs w:val="24"/>
        </w:rPr>
        <w:t xml:space="preserve"> </w:t>
      </w:r>
      <w:r w:rsidR="00DF5676">
        <w:rPr>
          <w:noProof/>
          <w:sz w:val="24"/>
          <w:szCs w:val="24"/>
        </w:rPr>
        <w:t>декабр</w:t>
      </w:r>
      <w:r w:rsidR="00793C78">
        <w:rPr>
          <w:noProof/>
          <w:sz w:val="24"/>
          <w:szCs w:val="24"/>
        </w:rPr>
        <w:t>я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F10BDD" w:rsidRPr="001013A3">
        <w:rPr>
          <w:bCs/>
          <w:color w:val="323232"/>
          <w:spacing w:val="-4"/>
          <w:sz w:val="24"/>
          <w:szCs w:val="24"/>
        </w:rPr>
        <w:t>201</w:t>
      </w:r>
      <w:r w:rsidR="00C248B1">
        <w:rPr>
          <w:bCs/>
          <w:color w:val="323232"/>
          <w:spacing w:val="-4"/>
          <w:sz w:val="24"/>
          <w:szCs w:val="24"/>
        </w:rPr>
        <w:t>9</w:t>
      </w:r>
      <w:r w:rsidR="00F10BDD" w:rsidRPr="001013A3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79021F" w:rsidRPr="001013A3">
        <w:rPr>
          <w:bCs/>
          <w:color w:val="323232"/>
          <w:spacing w:val="-4"/>
          <w:sz w:val="24"/>
          <w:szCs w:val="24"/>
        </w:rPr>
        <w:t>ода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  <w:t xml:space="preserve">              с.</w:t>
      </w:r>
      <w:r w:rsidR="00AD3507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>Ульдючины</w:t>
      </w:r>
    </w:p>
    <w:p w:rsidR="00017486" w:rsidRPr="006E192A" w:rsidRDefault="00017486" w:rsidP="00017486">
      <w:pPr>
        <w:pStyle w:val="1"/>
        <w:rPr>
          <w:b w:val="0"/>
          <w:bCs w:val="0"/>
          <w:color w:val="323232"/>
          <w:spacing w:val="-4"/>
          <w:szCs w:val="28"/>
        </w:rPr>
      </w:pPr>
    </w:p>
    <w:p w:rsidR="00321F5F" w:rsidRDefault="00321F5F" w:rsidP="00321F5F">
      <w:pPr>
        <w:tabs>
          <w:tab w:val="left" w:pos="3174"/>
        </w:tabs>
        <w:jc w:val="center"/>
      </w:pPr>
      <w:r w:rsidRPr="00F922AB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 xml:space="preserve">перечислении средств на проведение мероприятий, посвященных  Дню памяти жертв </w:t>
      </w:r>
      <w:r w:rsidR="000F5A83">
        <w:rPr>
          <w:b/>
          <w:sz w:val="22"/>
          <w:szCs w:val="22"/>
        </w:rPr>
        <w:t>депортации калмыцкого народа</w:t>
      </w:r>
    </w:p>
    <w:p w:rsidR="00321F5F" w:rsidRDefault="00321F5F" w:rsidP="00321F5F">
      <w:pPr>
        <w:ind w:firstLine="720"/>
        <w:jc w:val="both"/>
        <w:rPr>
          <w:i/>
          <w:iCs/>
          <w:u w:val="single"/>
        </w:rPr>
      </w:pPr>
    </w:p>
    <w:p w:rsidR="00321F5F" w:rsidRPr="000D24D4" w:rsidRDefault="00321F5F" w:rsidP="00321F5F">
      <w:pPr>
        <w:jc w:val="both"/>
        <w:rPr>
          <w:sz w:val="24"/>
          <w:szCs w:val="24"/>
        </w:rPr>
      </w:pPr>
      <w:r>
        <w:rPr>
          <w:iCs/>
          <w:sz w:val="28"/>
          <w:szCs w:val="28"/>
        </w:rPr>
        <w:tab/>
      </w:r>
      <w:r w:rsidRPr="000D24D4">
        <w:rPr>
          <w:sz w:val="24"/>
          <w:szCs w:val="24"/>
        </w:rPr>
        <w:t xml:space="preserve">В соответствии с п. 1 решения Собрания депутатов Ульдючинского сельского муниципального образования Республики Калмыкия от </w:t>
      </w:r>
      <w:r>
        <w:rPr>
          <w:sz w:val="24"/>
          <w:szCs w:val="24"/>
        </w:rPr>
        <w:t>18</w:t>
      </w:r>
      <w:r w:rsidRPr="000D24D4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0D24D4">
        <w:rPr>
          <w:sz w:val="24"/>
          <w:szCs w:val="24"/>
        </w:rPr>
        <w:t xml:space="preserve"> № </w:t>
      </w:r>
      <w:r>
        <w:rPr>
          <w:sz w:val="24"/>
          <w:szCs w:val="24"/>
        </w:rPr>
        <w:t>48</w:t>
      </w:r>
      <w:r w:rsidRPr="000D24D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финансировании мероприятий, посвященных Дню памяти жертв </w:t>
      </w:r>
      <w:r w:rsidR="000F5A83">
        <w:rPr>
          <w:sz w:val="24"/>
          <w:szCs w:val="24"/>
        </w:rPr>
        <w:t>депортации калмыцкого народа</w:t>
      </w:r>
      <w:r>
        <w:rPr>
          <w:sz w:val="24"/>
          <w:szCs w:val="24"/>
        </w:rPr>
        <w:t xml:space="preserve">, отдаю </w:t>
      </w:r>
    </w:p>
    <w:p w:rsidR="00321F5F" w:rsidRDefault="00321F5F" w:rsidP="00321F5F">
      <w:pPr>
        <w:jc w:val="both"/>
        <w:rPr>
          <w:sz w:val="24"/>
          <w:szCs w:val="24"/>
        </w:rPr>
      </w:pPr>
    </w:p>
    <w:p w:rsidR="00321F5F" w:rsidRDefault="00321F5F" w:rsidP="00321F5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распоряжение</w:t>
      </w:r>
      <w:r w:rsidRPr="00517EB7">
        <w:rPr>
          <w:b/>
          <w:sz w:val="24"/>
          <w:szCs w:val="24"/>
        </w:rPr>
        <w:t>:</w:t>
      </w:r>
    </w:p>
    <w:p w:rsidR="000F5A83" w:rsidRPr="00517EB7" w:rsidRDefault="000F5A83" w:rsidP="00321F5F">
      <w:pPr>
        <w:jc w:val="both"/>
        <w:rPr>
          <w:b/>
          <w:sz w:val="24"/>
          <w:szCs w:val="24"/>
        </w:rPr>
      </w:pPr>
    </w:p>
    <w:p w:rsidR="000F5A83" w:rsidRPr="000F5A83" w:rsidRDefault="00321F5F" w:rsidP="00AD3507">
      <w:pPr>
        <w:pStyle w:val="ab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0F5A83">
        <w:rPr>
          <w:spacing w:val="-1"/>
          <w:sz w:val="24"/>
          <w:szCs w:val="24"/>
        </w:rPr>
        <w:t xml:space="preserve">Перечислить из муниципального бюджета на счет № </w:t>
      </w:r>
      <w:r w:rsidRPr="000F5A83">
        <w:rPr>
          <w:color w:val="000000"/>
          <w:sz w:val="24"/>
          <w:szCs w:val="24"/>
          <w:shd w:val="clear" w:color="auto" w:fill="FFFFFF"/>
        </w:rPr>
        <w:t>408 178 107 603 012 056 87</w:t>
      </w:r>
      <w:r w:rsidRPr="000F5A83">
        <w:rPr>
          <w:color w:val="7030A0"/>
          <w:sz w:val="24"/>
          <w:szCs w:val="24"/>
        </w:rPr>
        <w:t xml:space="preserve"> </w:t>
      </w:r>
      <w:r w:rsidRPr="000F5A83">
        <w:rPr>
          <w:sz w:val="24"/>
          <w:szCs w:val="24"/>
        </w:rPr>
        <w:t xml:space="preserve">(получатель – </w:t>
      </w:r>
      <w:proofErr w:type="spellStart"/>
      <w:r w:rsidRPr="000F5A83">
        <w:rPr>
          <w:sz w:val="24"/>
          <w:szCs w:val="24"/>
        </w:rPr>
        <w:t>Ховалова</w:t>
      </w:r>
      <w:proofErr w:type="spellEnd"/>
      <w:r w:rsidRPr="000F5A83">
        <w:rPr>
          <w:sz w:val="24"/>
          <w:szCs w:val="24"/>
        </w:rPr>
        <w:t xml:space="preserve"> Людмила Васильевна, материально-ответственное лицо из числа сотрудников администрации Ульдючинского сельского муниципального образования) </w:t>
      </w:r>
      <w:r w:rsidR="000F5A83" w:rsidRPr="000F5A83">
        <w:rPr>
          <w:sz w:val="24"/>
          <w:szCs w:val="24"/>
        </w:rPr>
        <w:t>13 927,54</w:t>
      </w:r>
      <w:r w:rsidRPr="000F5A83">
        <w:rPr>
          <w:sz w:val="24"/>
          <w:szCs w:val="24"/>
        </w:rPr>
        <w:t xml:space="preserve"> (</w:t>
      </w:r>
      <w:r w:rsidR="000F5A83" w:rsidRPr="000F5A83">
        <w:rPr>
          <w:sz w:val="24"/>
          <w:szCs w:val="24"/>
        </w:rPr>
        <w:t xml:space="preserve">тринадцать </w:t>
      </w:r>
      <w:r w:rsidRPr="000F5A83">
        <w:rPr>
          <w:sz w:val="24"/>
          <w:szCs w:val="24"/>
        </w:rPr>
        <w:t>тысяч</w:t>
      </w:r>
      <w:r w:rsidR="000F5A83" w:rsidRPr="000F5A83">
        <w:rPr>
          <w:sz w:val="24"/>
          <w:szCs w:val="24"/>
        </w:rPr>
        <w:t xml:space="preserve"> девятьсот двадцать семь</w:t>
      </w:r>
      <w:r w:rsidRPr="000F5A83">
        <w:rPr>
          <w:sz w:val="24"/>
          <w:szCs w:val="24"/>
        </w:rPr>
        <w:t>) рублей</w:t>
      </w:r>
      <w:r w:rsidR="000F5A83" w:rsidRPr="000F5A83">
        <w:rPr>
          <w:sz w:val="24"/>
          <w:szCs w:val="24"/>
        </w:rPr>
        <w:t xml:space="preserve"> 54 копеек</w:t>
      </w:r>
      <w:r w:rsidRPr="000F5A83">
        <w:rPr>
          <w:sz w:val="24"/>
          <w:szCs w:val="24"/>
        </w:rPr>
        <w:t xml:space="preserve"> для проведения мероприятий, посвященных </w:t>
      </w:r>
      <w:r w:rsidR="000F5A83" w:rsidRPr="000F5A83">
        <w:rPr>
          <w:sz w:val="24"/>
          <w:szCs w:val="24"/>
        </w:rPr>
        <w:t xml:space="preserve">Дню </w:t>
      </w:r>
      <w:r w:rsidRPr="000F5A83">
        <w:rPr>
          <w:sz w:val="24"/>
          <w:szCs w:val="24"/>
        </w:rPr>
        <w:t>памяти жертв депортации калмыцкого народа</w:t>
      </w:r>
      <w:r w:rsidR="00036BAA">
        <w:rPr>
          <w:sz w:val="24"/>
          <w:szCs w:val="24"/>
        </w:rPr>
        <w:t>, согласно приложению 1.</w:t>
      </w:r>
      <w:r w:rsidRPr="000F5A83">
        <w:rPr>
          <w:sz w:val="24"/>
          <w:szCs w:val="24"/>
        </w:rPr>
        <w:t xml:space="preserve"> </w:t>
      </w:r>
    </w:p>
    <w:p w:rsidR="000F5A83" w:rsidRDefault="00321F5F" w:rsidP="00AD3507">
      <w:pPr>
        <w:pStyle w:val="ab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0F5A83">
        <w:rPr>
          <w:sz w:val="24"/>
          <w:szCs w:val="24"/>
        </w:rPr>
        <w:t xml:space="preserve"> </w:t>
      </w:r>
      <w:r w:rsidR="000F5A83">
        <w:rPr>
          <w:sz w:val="24"/>
          <w:szCs w:val="24"/>
        </w:rPr>
        <w:t xml:space="preserve">Обеспечить </w:t>
      </w:r>
      <w:r w:rsidR="00AD3507">
        <w:rPr>
          <w:sz w:val="24"/>
          <w:szCs w:val="24"/>
        </w:rPr>
        <w:t>организацию</w:t>
      </w:r>
      <w:r w:rsidR="000F5A83">
        <w:rPr>
          <w:sz w:val="24"/>
          <w:szCs w:val="24"/>
        </w:rPr>
        <w:t xml:space="preserve"> 3-разового питания участников межрегионального турнира по мини-футболу 20 декабря 2019 г. </w:t>
      </w:r>
    </w:p>
    <w:p w:rsidR="00321F5F" w:rsidRDefault="000F5A83" w:rsidP="00AD3507">
      <w:pPr>
        <w:pStyle w:val="ab"/>
        <w:numPr>
          <w:ilvl w:val="0"/>
          <w:numId w:val="11"/>
        </w:numPr>
        <w:shd w:val="clear" w:color="auto" w:fill="FFFFFF"/>
        <w:tabs>
          <w:tab w:val="left" w:pos="851"/>
        </w:tabs>
        <w:spacing w:before="375" w:after="450" w:line="276" w:lineRule="auto"/>
        <w:ind w:left="0" w:firstLine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321F5F" w:rsidRPr="000F5A83">
        <w:rPr>
          <w:color w:val="000000"/>
          <w:sz w:val="24"/>
          <w:szCs w:val="24"/>
        </w:rPr>
        <w:t xml:space="preserve"> установленный бюджетным законодательством срок представить финансовый отчет о целевом использовании бюджетных средств.</w:t>
      </w:r>
    </w:p>
    <w:p w:rsidR="000F5A83" w:rsidRPr="002C18B2" w:rsidRDefault="000F5A83" w:rsidP="00AD3507">
      <w:pPr>
        <w:pStyle w:val="ab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2C18B2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по списанию </w:t>
      </w:r>
      <w:r w:rsidRPr="002C18B2">
        <w:rPr>
          <w:sz w:val="24"/>
          <w:szCs w:val="24"/>
        </w:rPr>
        <w:t xml:space="preserve">произвести списание </w:t>
      </w:r>
      <w:r w:rsidR="00AD3507">
        <w:rPr>
          <w:sz w:val="24"/>
          <w:szCs w:val="24"/>
        </w:rPr>
        <w:t>товарно-материальных ценностей</w:t>
      </w:r>
      <w:r w:rsidRPr="002C18B2">
        <w:rPr>
          <w:sz w:val="24"/>
          <w:szCs w:val="24"/>
        </w:rPr>
        <w:t xml:space="preserve"> на основании акта о списании.</w:t>
      </w:r>
    </w:p>
    <w:p w:rsidR="000F5A83" w:rsidRPr="009C20EB" w:rsidRDefault="000F5A83" w:rsidP="000F5A83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Контроль по исполнению настоящего распоряжения оставляю за собой.</w:t>
      </w:r>
    </w:p>
    <w:p w:rsidR="00AD3507" w:rsidRDefault="00AD3507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79021F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092D27">
        <w:rPr>
          <w:sz w:val="24"/>
          <w:szCs w:val="24"/>
        </w:rPr>
        <w:t>Глава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7EB7">
        <w:rPr>
          <w:sz w:val="28"/>
          <w:szCs w:val="28"/>
        </w:rPr>
        <w:t>С</w:t>
      </w:r>
      <w:r w:rsidRPr="00092D27">
        <w:rPr>
          <w:sz w:val="24"/>
          <w:szCs w:val="24"/>
        </w:rPr>
        <w:t>анзыров</w:t>
      </w:r>
      <w:proofErr w:type="spellEnd"/>
      <w:r w:rsidRPr="00092D27">
        <w:rPr>
          <w:sz w:val="24"/>
          <w:szCs w:val="24"/>
        </w:rPr>
        <w:t xml:space="preserve"> Б.И.</w:t>
      </w:r>
      <w:r w:rsidR="00EB17E0" w:rsidRPr="00092D27">
        <w:rPr>
          <w:sz w:val="24"/>
          <w:szCs w:val="24"/>
        </w:rPr>
        <w:t xml:space="preserve">       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710DF9" w:rsidRDefault="00710DF9" w:rsidP="00710DF9">
      <w:pPr>
        <w:overflowPunct w:val="0"/>
        <w:jc w:val="right"/>
        <w:rPr>
          <w:b/>
          <w:smallCaps/>
        </w:rPr>
      </w:pPr>
      <w:r>
        <w:rPr>
          <w:b/>
          <w:smallCaps/>
        </w:rPr>
        <w:lastRenderedPageBreak/>
        <w:t>Утвержден</w:t>
      </w:r>
    </w:p>
    <w:p w:rsidR="00710DF9" w:rsidRDefault="00710DF9" w:rsidP="00710D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(Приложение 1) </w:t>
      </w:r>
    </w:p>
    <w:p w:rsidR="00710DF9" w:rsidRDefault="00710DF9" w:rsidP="00710DF9">
      <w:pPr>
        <w:tabs>
          <w:tab w:val="left" w:pos="317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распоряжением от </w:t>
      </w:r>
      <w:r>
        <w:rPr>
          <w:sz w:val="22"/>
          <w:szCs w:val="22"/>
        </w:rPr>
        <w:t>18.12</w:t>
      </w:r>
      <w:r>
        <w:rPr>
          <w:sz w:val="22"/>
          <w:szCs w:val="22"/>
        </w:rPr>
        <w:t xml:space="preserve">.2019 № </w:t>
      </w:r>
      <w:r>
        <w:rPr>
          <w:sz w:val="22"/>
          <w:szCs w:val="22"/>
        </w:rPr>
        <w:t>16</w:t>
      </w:r>
    </w:p>
    <w:p w:rsidR="00710DF9" w:rsidRDefault="00710DF9" w:rsidP="00710DF9">
      <w:pPr>
        <w:tabs>
          <w:tab w:val="left" w:pos="3174"/>
        </w:tabs>
        <w:jc w:val="right"/>
        <w:rPr>
          <w:sz w:val="22"/>
          <w:szCs w:val="22"/>
        </w:rPr>
      </w:pPr>
      <w:r w:rsidRPr="004B5C96">
        <w:rPr>
          <w:sz w:val="22"/>
          <w:szCs w:val="22"/>
        </w:rPr>
        <w:t xml:space="preserve">«О перечислении средств </w:t>
      </w:r>
      <w:proofErr w:type="gramStart"/>
      <w:r w:rsidRPr="004B5C96">
        <w:rPr>
          <w:sz w:val="22"/>
          <w:szCs w:val="22"/>
        </w:rPr>
        <w:t>на</w:t>
      </w:r>
      <w:proofErr w:type="gramEnd"/>
    </w:p>
    <w:p w:rsidR="00710DF9" w:rsidRDefault="00710DF9" w:rsidP="00710DF9">
      <w:pPr>
        <w:tabs>
          <w:tab w:val="left" w:pos="3174"/>
        </w:tabs>
        <w:jc w:val="right"/>
        <w:rPr>
          <w:sz w:val="22"/>
          <w:szCs w:val="22"/>
        </w:rPr>
      </w:pPr>
      <w:r w:rsidRPr="004B5C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подготовку и </w:t>
      </w:r>
      <w:r w:rsidRPr="004B5C96">
        <w:rPr>
          <w:sz w:val="22"/>
          <w:szCs w:val="22"/>
        </w:rPr>
        <w:t>проведение</w:t>
      </w:r>
    </w:p>
    <w:p w:rsidR="00710DF9" w:rsidRDefault="00710DF9" w:rsidP="00710DF9">
      <w:pPr>
        <w:tabs>
          <w:tab w:val="left" w:pos="3174"/>
        </w:tabs>
        <w:jc w:val="right"/>
        <w:rPr>
          <w:sz w:val="22"/>
          <w:szCs w:val="22"/>
        </w:rPr>
      </w:pPr>
      <w:r w:rsidRPr="004B5C96">
        <w:rPr>
          <w:sz w:val="22"/>
          <w:szCs w:val="22"/>
        </w:rPr>
        <w:t xml:space="preserve"> </w:t>
      </w:r>
      <w:r>
        <w:rPr>
          <w:sz w:val="22"/>
          <w:szCs w:val="22"/>
        </w:rPr>
        <w:t>мероприятий, посвященных Дню памяти</w:t>
      </w:r>
    </w:p>
    <w:p w:rsidR="00710DF9" w:rsidRPr="004B5C96" w:rsidRDefault="00710DF9" w:rsidP="00710DF9">
      <w:pPr>
        <w:tabs>
          <w:tab w:val="left" w:pos="3174"/>
        </w:tabs>
        <w:jc w:val="right"/>
      </w:pPr>
      <w:r>
        <w:rPr>
          <w:sz w:val="22"/>
          <w:szCs w:val="22"/>
        </w:rPr>
        <w:t xml:space="preserve"> жертв депортации калмыцкого народа</w:t>
      </w:r>
      <w:r>
        <w:rPr>
          <w:sz w:val="22"/>
          <w:szCs w:val="22"/>
        </w:rPr>
        <w:t>»</w:t>
      </w:r>
    </w:p>
    <w:p w:rsidR="00710DF9" w:rsidRDefault="00710DF9" w:rsidP="00710DF9">
      <w:pPr>
        <w:overflowPunct w:val="0"/>
        <w:jc w:val="right"/>
        <w:rPr>
          <w:b/>
          <w:smallCaps/>
        </w:rPr>
      </w:pPr>
    </w:p>
    <w:p w:rsidR="00710DF9" w:rsidRDefault="00710DF9" w:rsidP="00710DF9">
      <w:pPr>
        <w:overflowPunct w:val="0"/>
        <w:jc w:val="right"/>
        <w:rPr>
          <w:b/>
          <w:smallCaps/>
        </w:rPr>
      </w:pPr>
    </w:p>
    <w:p w:rsidR="00710DF9" w:rsidRPr="00710DF9" w:rsidRDefault="00710DF9" w:rsidP="00710DF9">
      <w:pPr>
        <w:overflowPunct w:val="0"/>
        <w:jc w:val="center"/>
        <w:rPr>
          <w:b/>
          <w:sz w:val="24"/>
          <w:szCs w:val="24"/>
        </w:rPr>
      </w:pPr>
      <w:bookmarkStart w:id="0" w:name="_GoBack"/>
      <w:bookmarkEnd w:id="0"/>
      <w:r w:rsidRPr="00710DF9">
        <w:rPr>
          <w:b/>
          <w:smallCaps/>
          <w:sz w:val="24"/>
          <w:szCs w:val="24"/>
        </w:rPr>
        <w:t>ПЛАН</w:t>
      </w:r>
    </w:p>
    <w:p w:rsidR="00710DF9" w:rsidRPr="004B5C96" w:rsidRDefault="00710DF9" w:rsidP="00710D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ероприятий, </w:t>
      </w:r>
      <w:r>
        <w:rPr>
          <w:b/>
          <w:sz w:val="24"/>
          <w:szCs w:val="24"/>
        </w:rPr>
        <w:t>посвященный Дню памяти жертв депортации калмыцкого народа</w:t>
      </w:r>
    </w:p>
    <w:p w:rsidR="00710DF9" w:rsidRDefault="00710DF9" w:rsidP="00710DF9">
      <w:pPr>
        <w:overflowPunct w:val="0"/>
        <w:rPr>
          <w:b/>
          <w:smallCaps/>
        </w:rPr>
      </w:pPr>
    </w:p>
    <w:p w:rsidR="00710DF9" w:rsidRDefault="00710DF9" w:rsidP="00710DF9">
      <w:pPr>
        <w:overflowPunct w:val="0"/>
        <w:jc w:val="right"/>
        <w:rPr>
          <w:b/>
          <w:smallCap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"/>
        <w:gridCol w:w="4200"/>
        <w:gridCol w:w="1701"/>
        <w:gridCol w:w="2826"/>
      </w:tblGrid>
      <w:tr w:rsidR="00710DF9" w:rsidRPr="003066E4" w:rsidTr="00423F06">
        <w:tc>
          <w:tcPr>
            <w:tcW w:w="870" w:type="dxa"/>
          </w:tcPr>
          <w:p w:rsidR="00710DF9" w:rsidRPr="003066E4" w:rsidRDefault="00710DF9" w:rsidP="00645E94">
            <w:pPr>
              <w:overflowPunct w:val="0"/>
              <w:rPr>
                <w:smallCaps/>
                <w:sz w:val="24"/>
                <w:szCs w:val="24"/>
              </w:rPr>
            </w:pPr>
            <w:r w:rsidRPr="003066E4">
              <w:rPr>
                <w:smallCaps/>
                <w:sz w:val="24"/>
                <w:szCs w:val="24"/>
              </w:rPr>
              <w:t xml:space="preserve">№  </w:t>
            </w:r>
            <w:r w:rsidRPr="003066E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00" w:type="dxa"/>
          </w:tcPr>
          <w:p w:rsidR="00710DF9" w:rsidRPr="003066E4" w:rsidRDefault="00710DF9" w:rsidP="00645E94">
            <w:pPr>
              <w:overflowPunct w:val="0"/>
              <w:jc w:val="center"/>
              <w:rPr>
                <w:smallCaps/>
                <w:sz w:val="24"/>
                <w:szCs w:val="24"/>
              </w:rPr>
            </w:pPr>
            <w:r w:rsidRPr="003066E4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710DF9" w:rsidRPr="003066E4" w:rsidRDefault="00710DF9" w:rsidP="00645E94">
            <w:pPr>
              <w:overflowPunct w:val="0"/>
              <w:rPr>
                <w:small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26" w:type="dxa"/>
          </w:tcPr>
          <w:p w:rsidR="00710DF9" w:rsidRPr="003066E4" w:rsidRDefault="00710DF9" w:rsidP="00645E94">
            <w:pPr>
              <w:overflowPunct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10DF9" w:rsidRPr="003066E4" w:rsidTr="00423F06">
        <w:tc>
          <w:tcPr>
            <w:tcW w:w="6771" w:type="dxa"/>
            <w:gridSpan w:val="3"/>
          </w:tcPr>
          <w:p w:rsidR="00710DF9" w:rsidRPr="003066E4" w:rsidRDefault="00710DF9" w:rsidP="00645E94">
            <w:pPr>
              <w:overflowPunct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2826" w:type="dxa"/>
          </w:tcPr>
          <w:p w:rsidR="00710DF9" w:rsidRDefault="00710DF9" w:rsidP="00645E94">
            <w:pPr>
              <w:overflowPunct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DF9" w:rsidRPr="003066E4" w:rsidTr="00423F06">
        <w:tc>
          <w:tcPr>
            <w:tcW w:w="870" w:type="dxa"/>
          </w:tcPr>
          <w:p w:rsidR="00710DF9" w:rsidRPr="003066E4" w:rsidRDefault="00710DF9" w:rsidP="00645E94">
            <w:pPr>
              <w:overflowPunct w:val="0"/>
              <w:jc w:val="right"/>
              <w:rPr>
                <w:smallCaps/>
                <w:sz w:val="24"/>
                <w:szCs w:val="24"/>
              </w:rPr>
            </w:pPr>
            <w:r w:rsidRPr="003066E4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710DF9" w:rsidRPr="003066E4" w:rsidRDefault="00710DF9" w:rsidP="00645E94">
            <w:pPr>
              <w:rPr>
                <w:smallCap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Межрегиональный турнир по мини-футболу</w:t>
            </w:r>
          </w:p>
        </w:tc>
        <w:tc>
          <w:tcPr>
            <w:tcW w:w="1701" w:type="dxa"/>
          </w:tcPr>
          <w:p w:rsidR="00710DF9" w:rsidRPr="003066E4" w:rsidRDefault="00710DF9" w:rsidP="00645E94">
            <w:pPr>
              <w:overflowPunct w:val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25.12.2019</w:t>
            </w:r>
          </w:p>
        </w:tc>
        <w:tc>
          <w:tcPr>
            <w:tcW w:w="2826" w:type="dxa"/>
          </w:tcPr>
          <w:p w:rsidR="00710DF9" w:rsidRDefault="00710DF9" w:rsidP="00645E94">
            <w:pPr>
              <w:overflowPunct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поселения, </w:t>
            </w:r>
          </w:p>
          <w:p w:rsidR="00710DF9" w:rsidRDefault="00710DF9" w:rsidP="00645E94">
            <w:pPr>
              <w:overflowPunct w:val="0"/>
              <w:rPr>
                <w:small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гимназия</w:t>
            </w:r>
          </w:p>
        </w:tc>
      </w:tr>
      <w:tr w:rsidR="00710DF9" w:rsidRPr="003066E4" w:rsidTr="00423F06">
        <w:tc>
          <w:tcPr>
            <w:tcW w:w="870" w:type="dxa"/>
          </w:tcPr>
          <w:p w:rsidR="00710DF9" w:rsidRPr="003066E4" w:rsidRDefault="00710DF9" w:rsidP="00645E94">
            <w:pPr>
              <w:overflowPunct w:val="0"/>
              <w:jc w:val="right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1.1</w:t>
            </w:r>
          </w:p>
        </w:tc>
        <w:tc>
          <w:tcPr>
            <w:tcW w:w="4200" w:type="dxa"/>
          </w:tcPr>
          <w:p w:rsidR="00710DF9" w:rsidRPr="0020469D" w:rsidRDefault="00710DF9" w:rsidP="00645E9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Митинг  «Помним, скорбим…»</w:t>
            </w:r>
          </w:p>
        </w:tc>
        <w:tc>
          <w:tcPr>
            <w:tcW w:w="1701" w:type="dxa"/>
          </w:tcPr>
          <w:p w:rsidR="00710DF9" w:rsidRDefault="00710DF9" w:rsidP="00645E94">
            <w:pPr>
              <w:overflowPunct w:val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28.12.2019</w:t>
            </w:r>
          </w:p>
        </w:tc>
        <w:tc>
          <w:tcPr>
            <w:tcW w:w="2826" w:type="dxa"/>
          </w:tcPr>
          <w:p w:rsidR="00710DF9" w:rsidRDefault="00710DF9" w:rsidP="00710DF9">
            <w:pPr>
              <w:overflowPunct w:val="0"/>
              <w:rPr>
                <w:small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710DF9" w:rsidRPr="003066E4" w:rsidTr="00710DF9">
        <w:tc>
          <w:tcPr>
            <w:tcW w:w="9597" w:type="dxa"/>
            <w:gridSpan w:val="4"/>
          </w:tcPr>
          <w:p w:rsidR="00710DF9" w:rsidRDefault="00710DF9" w:rsidP="00645E94">
            <w:pPr>
              <w:overflowPunct w:val="0"/>
              <w:rPr>
                <w:small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Организационные мероприятия</w:t>
            </w:r>
          </w:p>
        </w:tc>
      </w:tr>
      <w:tr w:rsidR="00710DF9" w:rsidRPr="003066E4" w:rsidTr="00423F06">
        <w:tc>
          <w:tcPr>
            <w:tcW w:w="870" w:type="dxa"/>
          </w:tcPr>
          <w:p w:rsidR="00710DF9" w:rsidRDefault="00710DF9" w:rsidP="00645E94">
            <w:pPr>
              <w:overflowPunct w:val="0"/>
              <w:jc w:val="right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710DF9" w:rsidRPr="00964439" w:rsidRDefault="00710DF9" w:rsidP="00036BAA">
            <w:pPr>
              <w:overflowPunct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денежных средств на проведение мероприятий </w:t>
            </w:r>
          </w:p>
        </w:tc>
        <w:tc>
          <w:tcPr>
            <w:tcW w:w="1701" w:type="dxa"/>
          </w:tcPr>
          <w:p w:rsidR="00710DF9" w:rsidRDefault="00036BAA" w:rsidP="00036BAA">
            <w:pPr>
              <w:overflowPunct w:val="0"/>
              <w:rPr>
                <w:small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25.12.2019</w:t>
            </w:r>
          </w:p>
        </w:tc>
        <w:tc>
          <w:tcPr>
            <w:tcW w:w="2826" w:type="dxa"/>
          </w:tcPr>
          <w:p w:rsidR="00710DF9" w:rsidRDefault="00710DF9" w:rsidP="00645E94">
            <w:pPr>
              <w:overflowPunct w:val="0"/>
              <w:rPr>
                <w:small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специалист-главный бухгалтер</w:t>
            </w:r>
          </w:p>
        </w:tc>
      </w:tr>
    </w:tbl>
    <w:p w:rsidR="00710DF9" w:rsidRDefault="00710DF9" w:rsidP="00710DF9">
      <w:pPr>
        <w:overflowPunct w:val="0"/>
        <w:jc w:val="right"/>
        <w:rPr>
          <w:b/>
          <w:smallCaps/>
        </w:rPr>
      </w:pPr>
    </w:p>
    <w:p w:rsidR="00036BAA" w:rsidRDefault="00036BAA" w:rsidP="00710DF9">
      <w:pPr>
        <w:overflowPunct w:val="0"/>
        <w:jc w:val="right"/>
        <w:rPr>
          <w:b/>
          <w:smallCaps/>
        </w:rPr>
      </w:pPr>
    </w:p>
    <w:p w:rsidR="00710DF9" w:rsidRDefault="00710DF9" w:rsidP="00710DF9">
      <w:pPr>
        <w:overflowPunct w:val="0"/>
        <w:jc w:val="right"/>
        <w:rPr>
          <w:b/>
          <w:smallCaps/>
        </w:rPr>
      </w:pPr>
      <w:r>
        <w:rPr>
          <w:b/>
          <w:smallCaps/>
        </w:rPr>
        <w:t>Утверждена</w:t>
      </w:r>
    </w:p>
    <w:p w:rsidR="00710DF9" w:rsidRDefault="00710DF9" w:rsidP="00710DF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(Приложение 2) </w:t>
      </w:r>
    </w:p>
    <w:p w:rsidR="00036BAA" w:rsidRDefault="00036BAA" w:rsidP="00036BAA">
      <w:pPr>
        <w:tabs>
          <w:tab w:val="left" w:pos="3174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от 18.12.2019 № 16</w:t>
      </w:r>
    </w:p>
    <w:p w:rsidR="00036BAA" w:rsidRDefault="00036BAA" w:rsidP="00036BAA">
      <w:pPr>
        <w:tabs>
          <w:tab w:val="left" w:pos="3174"/>
        </w:tabs>
        <w:jc w:val="right"/>
        <w:rPr>
          <w:sz w:val="22"/>
          <w:szCs w:val="22"/>
        </w:rPr>
      </w:pPr>
      <w:r w:rsidRPr="004B5C96">
        <w:rPr>
          <w:sz w:val="22"/>
          <w:szCs w:val="22"/>
        </w:rPr>
        <w:t>«О перечислении средств на</w:t>
      </w:r>
    </w:p>
    <w:p w:rsidR="00036BAA" w:rsidRDefault="00036BAA" w:rsidP="00036BAA">
      <w:pPr>
        <w:tabs>
          <w:tab w:val="left" w:pos="3174"/>
        </w:tabs>
        <w:jc w:val="right"/>
        <w:rPr>
          <w:sz w:val="22"/>
          <w:szCs w:val="22"/>
        </w:rPr>
      </w:pPr>
      <w:r w:rsidRPr="004B5C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подготовку и </w:t>
      </w:r>
      <w:r w:rsidRPr="004B5C96">
        <w:rPr>
          <w:sz w:val="22"/>
          <w:szCs w:val="22"/>
        </w:rPr>
        <w:t>проведение</w:t>
      </w:r>
    </w:p>
    <w:p w:rsidR="00036BAA" w:rsidRDefault="00036BAA" w:rsidP="00036BAA">
      <w:pPr>
        <w:tabs>
          <w:tab w:val="left" w:pos="3174"/>
        </w:tabs>
        <w:jc w:val="right"/>
        <w:rPr>
          <w:sz w:val="22"/>
          <w:szCs w:val="22"/>
        </w:rPr>
      </w:pPr>
      <w:r w:rsidRPr="004B5C96">
        <w:rPr>
          <w:sz w:val="22"/>
          <w:szCs w:val="22"/>
        </w:rPr>
        <w:t xml:space="preserve"> </w:t>
      </w:r>
      <w:r>
        <w:rPr>
          <w:sz w:val="22"/>
          <w:szCs w:val="22"/>
        </w:rPr>
        <w:t>мероприятий, посвященных Дню памяти</w:t>
      </w:r>
    </w:p>
    <w:p w:rsidR="00036BAA" w:rsidRPr="004B5C96" w:rsidRDefault="00036BAA" w:rsidP="00036BAA">
      <w:pPr>
        <w:tabs>
          <w:tab w:val="left" w:pos="3174"/>
        </w:tabs>
        <w:jc w:val="right"/>
      </w:pPr>
      <w:r>
        <w:rPr>
          <w:sz w:val="22"/>
          <w:szCs w:val="22"/>
        </w:rPr>
        <w:t xml:space="preserve"> жертв депортации калмыцкого народа»</w:t>
      </w:r>
    </w:p>
    <w:p w:rsidR="00710DF9" w:rsidRDefault="00710DF9" w:rsidP="00710DF9">
      <w:pPr>
        <w:jc w:val="right"/>
        <w:rPr>
          <w:sz w:val="22"/>
          <w:szCs w:val="22"/>
        </w:rPr>
      </w:pPr>
    </w:p>
    <w:p w:rsidR="00710DF9" w:rsidRPr="004B5C96" w:rsidRDefault="00710DF9" w:rsidP="00710DF9">
      <w:pPr>
        <w:jc w:val="right"/>
        <w:rPr>
          <w:sz w:val="22"/>
          <w:szCs w:val="22"/>
        </w:rPr>
      </w:pPr>
    </w:p>
    <w:p w:rsidR="00710DF9" w:rsidRDefault="00710DF9" w:rsidP="00710DF9">
      <w:pPr>
        <w:jc w:val="center"/>
        <w:rPr>
          <w:b/>
          <w:sz w:val="24"/>
          <w:szCs w:val="24"/>
        </w:rPr>
      </w:pPr>
      <w:r w:rsidRPr="004B5C96">
        <w:rPr>
          <w:b/>
          <w:sz w:val="24"/>
          <w:szCs w:val="24"/>
        </w:rPr>
        <w:t>Смета расходов</w:t>
      </w:r>
    </w:p>
    <w:p w:rsidR="00423F06" w:rsidRPr="004B5C96" w:rsidRDefault="00710DF9" w:rsidP="00423F06">
      <w:pPr>
        <w:jc w:val="center"/>
        <w:rPr>
          <w:b/>
          <w:sz w:val="24"/>
          <w:szCs w:val="24"/>
        </w:rPr>
      </w:pPr>
      <w:r w:rsidRPr="004B5C96">
        <w:rPr>
          <w:b/>
          <w:sz w:val="24"/>
          <w:szCs w:val="24"/>
        </w:rPr>
        <w:t xml:space="preserve"> </w:t>
      </w:r>
      <w:r w:rsidRPr="00A12C35">
        <w:rPr>
          <w:b/>
          <w:color w:val="000000"/>
          <w:sz w:val="26"/>
          <w:szCs w:val="26"/>
        </w:rPr>
        <w:t xml:space="preserve">На проведение мероприятий, </w:t>
      </w:r>
      <w:r w:rsidR="00423F06">
        <w:rPr>
          <w:b/>
          <w:sz w:val="24"/>
          <w:szCs w:val="24"/>
        </w:rPr>
        <w:t>проводимых</w:t>
      </w:r>
      <w:r w:rsidR="00423F06" w:rsidRPr="004B5C96">
        <w:rPr>
          <w:b/>
          <w:sz w:val="24"/>
          <w:szCs w:val="24"/>
        </w:rPr>
        <w:t xml:space="preserve"> в </w:t>
      </w:r>
      <w:r w:rsidR="00423F06">
        <w:rPr>
          <w:b/>
          <w:sz w:val="24"/>
          <w:szCs w:val="24"/>
        </w:rPr>
        <w:t>сельском поселении, посвященный Дню памяти жертв депортации калмыцкого народа</w:t>
      </w:r>
    </w:p>
    <w:p w:rsidR="00710DF9" w:rsidRPr="00A12C35" w:rsidRDefault="00710DF9" w:rsidP="00710DF9">
      <w:pPr>
        <w:jc w:val="center"/>
        <w:rPr>
          <w:b/>
          <w:color w:val="333333"/>
          <w:sz w:val="26"/>
          <w:szCs w:val="26"/>
        </w:rPr>
      </w:pPr>
    </w:p>
    <w:p w:rsidR="00710DF9" w:rsidRDefault="00710DF9" w:rsidP="00710DF9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83"/>
        <w:gridCol w:w="1134"/>
        <w:gridCol w:w="1418"/>
        <w:gridCol w:w="1276"/>
        <w:gridCol w:w="2259"/>
      </w:tblGrid>
      <w:tr w:rsidR="00CF2EDE" w:rsidRPr="00D63009" w:rsidTr="00423F06">
        <w:tc>
          <w:tcPr>
            <w:tcW w:w="561" w:type="dxa"/>
            <w:shd w:val="clear" w:color="auto" w:fill="auto"/>
          </w:tcPr>
          <w:p w:rsidR="00CF2EDE" w:rsidRPr="00D63009" w:rsidRDefault="00CF2EDE" w:rsidP="00645E94">
            <w:pPr>
              <w:spacing w:line="360" w:lineRule="auto"/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№</w:t>
            </w:r>
          </w:p>
        </w:tc>
        <w:tc>
          <w:tcPr>
            <w:tcW w:w="2983" w:type="dxa"/>
            <w:shd w:val="clear" w:color="auto" w:fill="auto"/>
          </w:tcPr>
          <w:p w:rsidR="00CF2EDE" w:rsidRPr="00D63009" w:rsidRDefault="00CF2EDE" w:rsidP="00645E94">
            <w:pPr>
              <w:spacing w:line="360" w:lineRule="auto"/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</w:tcPr>
          <w:p w:rsidR="00CF2EDE" w:rsidRPr="00D63009" w:rsidRDefault="00CF2EDE" w:rsidP="00645E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CF2EDE" w:rsidRPr="00D63009" w:rsidRDefault="00CF2EDE" w:rsidP="00CF2EDE">
            <w:pPr>
              <w:spacing w:line="360" w:lineRule="auto"/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  <w:shd w:val="clear" w:color="auto" w:fill="auto"/>
          </w:tcPr>
          <w:p w:rsidR="00CF2EDE" w:rsidRPr="00D63009" w:rsidRDefault="00CF2EDE" w:rsidP="00645E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Цена, </w:t>
            </w:r>
            <w:r w:rsidR="00423F06">
              <w:rPr>
                <w:sz w:val="24"/>
                <w:szCs w:val="24"/>
              </w:rPr>
              <w:t>руб.</w:t>
            </w:r>
          </w:p>
        </w:tc>
        <w:tc>
          <w:tcPr>
            <w:tcW w:w="2259" w:type="dxa"/>
          </w:tcPr>
          <w:p w:rsidR="00CF2EDE" w:rsidRPr="00D63009" w:rsidRDefault="00CF2EDE" w:rsidP="000213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Сметная стоимость, </w:t>
            </w:r>
            <w:r w:rsidR="00423F06">
              <w:rPr>
                <w:sz w:val="24"/>
                <w:szCs w:val="24"/>
              </w:rPr>
              <w:t>руб.</w:t>
            </w:r>
          </w:p>
        </w:tc>
      </w:tr>
      <w:tr w:rsidR="00CF2EDE" w:rsidRPr="00D63009" w:rsidTr="00423F06">
        <w:tc>
          <w:tcPr>
            <w:tcW w:w="561" w:type="dxa"/>
            <w:shd w:val="clear" w:color="auto" w:fill="auto"/>
          </w:tcPr>
          <w:p w:rsidR="00CF2EDE" w:rsidRPr="00D63009" w:rsidRDefault="00CF2EDE" w:rsidP="00645E94">
            <w:pPr>
              <w:spacing w:line="360" w:lineRule="auto"/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:rsidR="00CF2EDE" w:rsidRDefault="00CF2EDE" w:rsidP="0003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34" w:type="dxa"/>
            <w:shd w:val="clear" w:color="auto" w:fill="auto"/>
          </w:tcPr>
          <w:p w:rsidR="00CF2EDE" w:rsidRDefault="00CF2EDE" w:rsidP="00645E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2EDE" w:rsidRDefault="00CF2EDE" w:rsidP="007C287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2EDE" w:rsidRDefault="00CF2EDE" w:rsidP="00645E9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CF2EDE" w:rsidRDefault="00CF2EDE" w:rsidP="000213A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12458,84</w:t>
            </w:r>
          </w:p>
        </w:tc>
      </w:tr>
      <w:tr w:rsidR="00CF2EDE" w:rsidRPr="00D63009" w:rsidTr="00423F06">
        <w:tc>
          <w:tcPr>
            <w:tcW w:w="561" w:type="dxa"/>
            <w:shd w:val="clear" w:color="auto" w:fill="auto"/>
          </w:tcPr>
          <w:p w:rsidR="00CF2EDE" w:rsidRPr="00D63009" w:rsidRDefault="00CF2EDE" w:rsidP="00645E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  <w:shd w:val="clear" w:color="auto" w:fill="auto"/>
          </w:tcPr>
          <w:p w:rsidR="00CF2EDE" w:rsidRDefault="00CF2EDE" w:rsidP="0064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 (бензин)</w:t>
            </w:r>
          </w:p>
        </w:tc>
        <w:tc>
          <w:tcPr>
            <w:tcW w:w="1134" w:type="dxa"/>
            <w:shd w:val="clear" w:color="auto" w:fill="auto"/>
          </w:tcPr>
          <w:p w:rsidR="00CF2EDE" w:rsidRDefault="00CF2EDE" w:rsidP="00645E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CF2EDE" w:rsidRDefault="00CF2EDE" w:rsidP="007C28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11,61 </w:t>
            </w:r>
          </w:p>
        </w:tc>
        <w:tc>
          <w:tcPr>
            <w:tcW w:w="1276" w:type="dxa"/>
            <w:shd w:val="clear" w:color="auto" w:fill="auto"/>
          </w:tcPr>
          <w:p w:rsidR="00CF2EDE" w:rsidRDefault="00CF2EDE" w:rsidP="00645E9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43,07</w:t>
            </w:r>
          </w:p>
        </w:tc>
        <w:tc>
          <w:tcPr>
            <w:tcW w:w="2259" w:type="dxa"/>
          </w:tcPr>
          <w:p w:rsidR="00CF2EDE" w:rsidRDefault="00CF2EDE" w:rsidP="000213A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CF2EDE" w:rsidRPr="00D63009" w:rsidTr="00423F06">
        <w:tc>
          <w:tcPr>
            <w:tcW w:w="561" w:type="dxa"/>
            <w:shd w:val="clear" w:color="auto" w:fill="auto"/>
          </w:tcPr>
          <w:p w:rsidR="00CF2EDE" w:rsidRDefault="00CF2EDE" w:rsidP="00645E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3" w:type="dxa"/>
            <w:shd w:val="clear" w:color="auto" w:fill="auto"/>
          </w:tcPr>
          <w:p w:rsidR="00CF2EDE" w:rsidRDefault="00CF2EDE" w:rsidP="0064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Моющиеся средства, полотенца, салфетки</w:t>
            </w:r>
          </w:p>
        </w:tc>
        <w:tc>
          <w:tcPr>
            <w:tcW w:w="1134" w:type="dxa"/>
            <w:shd w:val="clear" w:color="auto" w:fill="auto"/>
          </w:tcPr>
          <w:p w:rsidR="00CF2EDE" w:rsidRDefault="00CF2EDE" w:rsidP="00645E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2EDE" w:rsidRDefault="00CF2EDE" w:rsidP="007C287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2EDE" w:rsidRDefault="00CF2EDE" w:rsidP="00645E9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CF2EDE" w:rsidRDefault="00CF2EDE" w:rsidP="000213A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1275,70</w:t>
            </w:r>
          </w:p>
        </w:tc>
      </w:tr>
      <w:tr w:rsidR="00CF2EDE" w:rsidRPr="00D63009" w:rsidTr="00423F06">
        <w:tc>
          <w:tcPr>
            <w:tcW w:w="561" w:type="dxa"/>
            <w:shd w:val="clear" w:color="auto" w:fill="auto"/>
          </w:tcPr>
          <w:p w:rsidR="00CF2EDE" w:rsidRDefault="00CF2EDE" w:rsidP="00645E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3" w:type="dxa"/>
            <w:shd w:val="clear" w:color="auto" w:fill="auto"/>
          </w:tcPr>
          <w:p w:rsidR="00CF2EDE" w:rsidRDefault="00CF2EDE" w:rsidP="0064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Сжиженный газ</w:t>
            </w:r>
          </w:p>
        </w:tc>
        <w:tc>
          <w:tcPr>
            <w:tcW w:w="1134" w:type="dxa"/>
            <w:shd w:val="clear" w:color="auto" w:fill="auto"/>
          </w:tcPr>
          <w:p w:rsidR="00CF2EDE" w:rsidRPr="00CF2EDE" w:rsidRDefault="00CF2EDE" w:rsidP="00645E94">
            <w:pPr>
              <w:spacing w:line="360" w:lineRule="auto"/>
              <w:rPr>
                <w:szCs w:val="24"/>
                <w:vertAlign w:val="superscript"/>
              </w:rPr>
            </w:pP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F2EDE" w:rsidRDefault="00CF2EDE" w:rsidP="007C28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29,410</w:t>
            </w:r>
          </w:p>
        </w:tc>
        <w:tc>
          <w:tcPr>
            <w:tcW w:w="1276" w:type="dxa"/>
            <w:shd w:val="clear" w:color="auto" w:fill="auto"/>
          </w:tcPr>
          <w:p w:rsidR="00CF2EDE" w:rsidRDefault="00CF2EDE" w:rsidP="00645E9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  <w:tc>
          <w:tcPr>
            <w:tcW w:w="2259" w:type="dxa"/>
          </w:tcPr>
          <w:p w:rsidR="00CF2EDE" w:rsidRDefault="00CF2EDE" w:rsidP="00AE435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699,96</w:t>
            </w:r>
          </w:p>
        </w:tc>
      </w:tr>
      <w:tr w:rsidR="00CF2EDE" w:rsidRPr="00D63009" w:rsidTr="00423F06">
        <w:tc>
          <w:tcPr>
            <w:tcW w:w="561" w:type="dxa"/>
            <w:shd w:val="clear" w:color="auto" w:fill="auto"/>
          </w:tcPr>
          <w:p w:rsidR="00CF2EDE" w:rsidRDefault="00CF2EDE" w:rsidP="00645E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3" w:type="dxa"/>
            <w:shd w:val="clear" w:color="auto" w:fill="auto"/>
          </w:tcPr>
          <w:p w:rsidR="00CF2EDE" w:rsidRDefault="00CF2EDE" w:rsidP="0064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одноразовая</w:t>
            </w:r>
          </w:p>
        </w:tc>
        <w:tc>
          <w:tcPr>
            <w:tcW w:w="1134" w:type="dxa"/>
            <w:shd w:val="clear" w:color="auto" w:fill="auto"/>
          </w:tcPr>
          <w:p w:rsidR="00CF2EDE" w:rsidRDefault="00423F06" w:rsidP="00645E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F2EDE" w:rsidRDefault="00CF2EDE" w:rsidP="00CF2ED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2EDE" w:rsidRDefault="00CF2EDE" w:rsidP="00CF2ED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CF2EDE" w:rsidRDefault="00CF2EDE" w:rsidP="00AE435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CF2EDE" w:rsidRPr="00CF2EDE" w:rsidTr="00423F06">
        <w:tc>
          <w:tcPr>
            <w:tcW w:w="561" w:type="dxa"/>
            <w:shd w:val="clear" w:color="auto" w:fill="auto"/>
          </w:tcPr>
          <w:p w:rsidR="00CF2EDE" w:rsidRPr="00D63009" w:rsidRDefault="00CF2EDE" w:rsidP="00645E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</w:tcPr>
          <w:p w:rsidR="00CF2EDE" w:rsidRPr="00D63009" w:rsidRDefault="00CF2EDE" w:rsidP="00645E94">
            <w:pPr>
              <w:spacing w:line="360" w:lineRule="auto"/>
              <w:rPr>
                <w:b/>
                <w:sz w:val="24"/>
                <w:szCs w:val="24"/>
              </w:rPr>
            </w:pPr>
            <w:r w:rsidRPr="00D630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F2EDE" w:rsidRPr="00D63009" w:rsidRDefault="00CF2EDE" w:rsidP="00645E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EDE" w:rsidRDefault="00CF2EDE" w:rsidP="00645E94">
            <w:pPr>
              <w:spacing w:line="36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2EDE" w:rsidRPr="00D63009" w:rsidRDefault="00CF2EDE" w:rsidP="00645E9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CF2EDE" w:rsidRPr="00CF2EDE" w:rsidRDefault="00CF2EDE" w:rsidP="00645E9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CF2EDE">
              <w:rPr>
                <w:b/>
                <w:sz w:val="24"/>
                <w:szCs w:val="24"/>
              </w:rPr>
              <w:t>13927,54</w:t>
            </w:r>
          </w:p>
        </w:tc>
      </w:tr>
    </w:tbl>
    <w:p w:rsidR="00710DF9" w:rsidRPr="00272443" w:rsidRDefault="00710DF9" w:rsidP="00710DF9">
      <w:pPr>
        <w:ind w:left="720"/>
        <w:rPr>
          <w:szCs w:val="28"/>
        </w:rPr>
      </w:pPr>
    </w:p>
    <w:p w:rsidR="00710DF9" w:rsidRPr="00D63009" w:rsidRDefault="00710DF9" w:rsidP="00710DF9">
      <w:pPr>
        <w:ind w:left="720"/>
        <w:rPr>
          <w:sz w:val="24"/>
          <w:szCs w:val="24"/>
        </w:rPr>
      </w:pPr>
      <w:r w:rsidRPr="00D63009">
        <w:rPr>
          <w:sz w:val="24"/>
          <w:szCs w:val="24"/>
        </w:rPr>
        <w:t>Итого</w:t>
      </w:r>
      <w:r>
        <w:rPr>
          <w:sz w:val="24"/>
          <w:szCs w:val="24"/>
        </w:rPr>
        <w:t xml:space="preserve">: </w:t>
      </w:r>
      <w:r w:rsidR="00CF2EDE" w:rsidRPr="00CF2EDE">
        <w:rPr>
          <w:sz w:val="24"/>
          <w:szCs w:val="24"/>
        </w:rPr>
        <w:t xml:space="preserve">13927,54 </w:t>
      </w:r>
      <w:r w:rsidRPr="00CF2EDE">
        <w:rPr>
          <w:sz w:val="24"/>
          <w:szCs w:val="24"/>
        </w:rPr>
        <w:t>(</w:t>
      </w:r>
      <w:r w:rsidR="00CF2EDE" w:rsidRPr="00CF2EDE">
        <w:rPr>
          <w:sz w:val="24"/>
          <w:szCs w:val="24"/>
        </w:rPr>
        <w:t>тринадцать</w:t>
      </w:r>
      <w:r w:rsidRPr="00CF2EDE">
        <w:rPr>
          <w:sz w:val="24"/>
          <w:szCs w:val="24"/>
        </w:rPr>
        <w:t xml:space="preserve"> </w:t>
      </w:r>
      <w:r>
        <w:rPr>
          <w:sz w:val="24"/>
          <w:szCs w:val="24"/>
        </w:rPr>
        <w:t>тысяч</w:t>
      </w:r>
      <w:r w:rsidR="00CF2EDE">
        <w:rPr>
          <w:sz w:val="24"/>
          <w:szCs w:val="24"/>
        </w:rPr>
        <w:t xml:space="preserve"> девятьсот двадцать семь</w:t>
      </w:r>
      <w:r w:rsidRPr="00D63009">
        <w:rPr>
          <w:sz w:val="24"/>
          <w:szCs w:val="24"/>
        </w:rPr>
        <w:t xml:space="preserve">) рублей </w:t>
      </w:r>
      <w:r w:rsidR="00CF2EDE">
        <w:rPr>
          <w:sz w:val="24"/>
          <w:szCs w:val="24"/>
        </w:rPr>
        <w:t>54</w:t>
      </w:r>
      <w:r w:rsidRPr="00D63009">
        <w:rPr>
          <w:sz w:val="24"/>
          <w:szCs w:val="24"/>
        </w:rPr>
        <w:t xml:space="preserve"> копеек.</w:t>
      </w:r>
    </w:p>
    <w:p w:rsidR="00710DF9" w:rsidRPr="00272443" w:rsidRDefault="00710DF9" w:rsidP="00710DF9">
      <w:pPr>
        <w:ind w:left="720"/>
        <w:rPr>
          <w:szCs w:val="28"/>
        </w:rPr>
      </w:pPr>
    </w:p>
    <w:p w:rsidR="00710DF9" w:rsidRPr="00272443" w:rsidRDefault="00710DF9" w:rsidP="00710DF9">
      <w:pPr>
        <w:ind w:left="720"/>
        <w:rPr>
          <w:szCs w:val="28"/>
        </w:rPr>
      </w:pPr>
    </w:p>
    <w:p w:rsidR="00710DF9" w:rsidRDefault="00710DF9" w:rsidP="00710DF9">
      <w:pPr>
        <w:ind w:left="720"/>
        <w:rPr>
          <w:sz w:val="28"/>
          <w:szCs w:val="28"/>
        </w:rPr>
      </w:pPr>
    </w:p>
    <w:p w:rsidR="00710DF9" w:rsidRDefault="00710DF9" w:rsidP="00710DF9">
      <w:pPr>
        <w:ind w:left="720"/>
        <w:rPr>
          <w:sz w:val="28"/>
          <w:szCs w:val="28"/>
        </w:rPr>
      </w:pPr>
    </w:p>
    <w:p w:rsidR="00710DF9" w:rsidRDefault="00710DF9" w:rsidP="00710DF9">
      <w:pPr>
        <w:overflowPunct w:val="0"/>
        <w:jc w:val="right"/>
        <w:rPr>
          <w:b/>
          <w:smallCaps/>
        </w:rPr>
      </w:pPr>
    </w:p>
    <w:p w:rsidR="00710DF9" w:rsidRDefault="00710DF9" w:rsidP="00710DF9">
      <w:pPr>
        <w:overflowPunct w:val="0"/>
        <w:jc w:val="right"/>
        <w:rPr>
          <w:b/>
          <w:smallCaps/>
        </w:rPr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Pr="0020469D" w:rsidRDefault="00710DF9" w:rsidP="00710DF9">
      <w:pPr>
        <w:overflowPunct w:val="0"/>
        <w:ind w:firstLine="539"/>
        <w:jc w:val="right"/>
        <w:rPr>
          <w:sz w:val="24"/>
          <w:szCs w:val="24"/>
        </w:rPr>
      </w:pPr>
    </w:p>
    <w:p w:rsidR="00710DF9" w:rsidRPr="0020469D" w:rsidRDefault="00710DF9" w:rsidP="00710DF9">
      <w:pPr>
        <w:overflowPunct w:val="0"/>
        <w:ind w:firstLine="539"/>
        <w:jc w:val="right"/>
        <w:rPr>
          <w:sz w:val="24"/>
          <w:szCs w:val="24"/>
        </w:rPr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710DF9" w:rsidRDefault="00710DF9" w:rsidP="00710DF9">
      <w:pPr>
        <w:overflowPunct w:val="0"/>
        <w:ind w:firstLine="539"/>
        <w:jc w:val="right"/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0D24D4" w:rsidSect="00710DF9">
      <w:type w:val="continuous"/>
      <w:pgSz w:w="11909" w:h="16834"/>
      <w:pgMar w:top="993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34" w:rsidRDefault="00887A34">
      <w:r>
        <w:separator/>
      </w:r>
    </w:p>
  </w:endnote>
  <w:endnote w:type="continuationSeparator" w:id="0">
    <w:p w:rsidR="00887A34" w:rsidRDefault="0088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34" w:rsidRDefault="00887A34">
      <w:r>
        <w:separator/>
      </w:r>
    </w:p>
  </w:footnote>
  <w:footnote w:type="continuationSeparator" w:id="0">
    <w:p w:rsidR="00887A34" w:rsidRDefault="0088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7">
    <w:nsid w:val="3C1F2230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6BDC"/>
    <w:rsid w:val="00017486"/>
    <w:rsid w:val="00021221"/>
    <w:rsid w:val="00026860"/>
    <w:rsid w:val="00036BAA"/>
    <w:rsid w:val="0007324A"/>
    <w:rsid w:val="00092D27"/>
    <w:rsid w:val="000D24D4"/>
    <w:rsid w:val="000F5A83"/>
    <w:rsid w:val="001013A3"/>
    <w:rsid w:val="00105929"/>
    <w:rsid w:val="00105BD1"/>
    <w:rsid w:val="00110F99"/>
    <w:rsid w:val="00156A95"/>
    <w:rsid w:val="00157E20"/>
    <w:rsid w:val="00174832"/>
    <w:rsid w:val="001B737F"/>
    <w:rsid w:val="0027647F"/>
    <w:rsid w:val="002A2C77"/>
    <w:rsid w:val="002C2465"/>
    <w:rsid w:val="002D507E"/>
    <w:rsid w:val="002E622D"/>
    <w:rsid w:val="00321F5F"/>
    <w:rsid w:val="00326355"/>
    <w:rsid w:val="00344E93"/>
    <w:rsid w:val="0036226D"/>
    <w:rsid w:val="00393F60"/>
    <w:rsid w:val="003C74B4"/>
    <w:rsid w:val="003F16A3"/>
    <w:rsid w:val="00423F06"/>
    <w:rsid w:val="00446C88"/>
    <w:rsid w:val="00474FB3"/>
    <w:rsid w:val="004B57D1"/>
    <w:rsid w:val="004B7FBE"/>
    <w:rsid w:val="004F3870"/>
    <w:rsid w:val="004F7302"/>
    <w:rsid w:val="00517EB7"/>
    <w:rsid w:val="00534E43"/>
    <w:rsid w:val="005538ED"/>
    <w:rsid w:val="005922FA"/>
    <w:rsid w:val="005A2849"/>
    <w:rsid w:val="005D3300"/>
    <w:rsid w:val="00617DE1"/>
    <w:rsid w:val="006337F7"/>
    <w:rsid w:val="00637518"/>
    <w:rsid w:val="0068268D"/>
    <w:rsid w:val="00686AAB"/>
    <w:rsid w:val="006B1BB2"/>
    <w:rsid w:val="006C3A6F"/>
    <w:rsid w:val="006E192A"/>
    <w:rsid w:val="00710DF9"/>
    <w:rsid w:val="0071586B"/>
    <w:rsid w:val="0078201D"/>
    <w:rsid w:val="0079021F"/>
    <w:rsid w:val="00793C78"/>
    <w:rsid w:val="007F3AAA"/>
    <w:rsid w:val="00803E24"/>
    <w:rsid w:val="00845C17"/>
    <w:rsid w:val="00855BED"/>
    <w:rsid w:val="00867D7B"/>
    <w:rsid w:val="00887A34"/>
    <w:rsid w:val="008937C8"/>
    <w:rsid w:val="008C7D46"/>
    <w:rsid w:val="008D3DA7"/>
    <w:rsid w:val="00946ECC"/>
    <w:rsid w:val="009C20EB"/>
    <w:rsid w:val="009D2495"/>
    <w:rsid w:val="009E2FBE"/>
    <w:rsid w:val="009F5CA0"/>
    <w:rsid w:val="009F7271"/>
    <w:rsid w:val="00A22D3B"/>
    <w:rsid w:val="00A3689B"/>
    <w:rsid w:val="00A65925"/>
    <w:rsid w:val="00A861DF"/>
    <w:rsid w:val="00AC33F9"/>
    <w:rsid w:val="00AC4AC2"/>
    <w:rsid w:val="00AD3507"/>
    <w:rsid w:val="00AE3EBF"/>
    <w:rsid w:val="00AE4E3E"/>
    <w:rsid w:val="00B50B22"/>
    <w:rsid w:val="00B6665D"/>
    <w:rsid w:val="00BA7211"/>
    <w:rsid w:val="00BB08A8"/>
    <w:rsid w:val="00C163CE"/>
    <w:rsid w:val="00C22D6D"/>
    <w:rsid w:val="00C2316A"/>
    <w:rsid w:val="00C248B1"/>
    <w:rsid w:val="00C46CD3"/>
    <w:rsid w:val="00C61F31"/>
    <w:rsid w:val="00C76AED"/>
    <w:rsid w:val="00C834EA"/>
    <w:rsid w:val="00CB30F6"/>
    <w:rsid w:val="00CB371F"/>
    <w:rsid w:val="00CC7A98"/>
    <w:rsid w:val="00CE6163"/>
    <w:rsid w:val="00CF2EDE"/>
    <w:rsid w:val="00D34653"/>
    <w:rsid w:val="00DF5676"/>
    <w:rsid w:val="00E02AD7"/>
    <w:rsid w:val="00E02F37"/>
    <w:rsid w:val="00E27BC3"/>
    <w:rsid w:val="00E56C60"/>
    <w:rsid w:val="00EB17E0"/>
    <w:rsid w:val="00EB4019"/>
    <w:rsid w:val="00F10ADD"/>
    <w:rsid w:val="00F10BDD"/>
    <w:rsid w:val="00F15166"/>
    <w:rsid w:val="00F2241E"/>
    <w:rsid w:val="00F7106F"/>
    <w:rsid w:val="00F83EA5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smo</cp:lastModifiedBy>
  <cp:revision>5</cp:revision>
  <cp:lastPrinted>2018-12-18T06:49:00Z</cp:lastPrinted>
  <dcterms:created xsi:type="dcterms:W3CDTF">2019-12-20T06:44:00Z</dcterms:created>
  <dcterms:modified xsi:type="dcterms:W3CDTF">2019-12-20T07:47:00Z</dcterms:modified>
</cp:coreProperties>
</file>